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E53" w:rsidRDefault="00DC0885" w:rsidP="00DC0885">
      <w:pPr>
        <w:spacing w:after="0"/>
        <w:ind w:left="-284"/>
        <w:rPr>
          <w:rFonts w:asciiTheme="majorHAnsi" w:hAnsiTheme="majorHAnsi"/>
        </w:rPr>
      </w:pPr>
      <w:r w:rsidRPr="00C45B4E">
        <w:rPr>
          <w:rFonts w:asciiTheme="majorHAnsi" w:hAnsiTheme="majorHAnsi"/>
          <w:b/>
        </w:rPr>
        <w:t>SPRZEDAWCA  522301</w:t>
      </w:r>
      <w:r>
        <w:rPr>
          <w:rFonts w:asciiTheme="majorHAnsi" w:hAnsiTheme="majorHAnsi"/>
        </w:rPr>
        <w:t xml:space="preserve">    </w:t>
      </w:r>
    </w:p>
    <w:p w:rsidR="00DC0885" w:rsidRPr="00C45B4E" w:rsidRDefault="00DC0885" w:rsidP="00DC0885">
      <w:pPr>
        <w:spacing w:after="0"/>
        <w:ind w:left="-284"/>
        <w:rPr>
          <w:rFonts w:asciiTheme="majorHAnsi" w:hAnsiTheme="majorHAnsi"/>
          <w:b/>
        </w:rPr>
      </w:pPr>
      <w:r w:rsidRPr="00C45B4E">
        <w:rPr>
          <w:rFonts w:asciiTheme="majorHAnsi" w:hAnsiTheme="majorHAnsi"/>
        </w:rPr>
        <w:t xml:space="preserve">Kwalifikacja wyodrębniona w zawodzie: </w:t>
      </w:r>
      <w:r w:rsidRPr="00C45B4E">
        <w:rPr>
          <w:rFonts w:asciiTheme="majorHAnsi" w:hAnsiTheme="majorHAnsi"/>
          <w:b/>
        </w:rPr>
        <w:t>HAN.01. Prowadzenie sprzedaży</w:t>
      </w:r>
    </w:p>
    <w:p w:rsidR="008627EB" w:rsidRPr="006B6E53" w:rsidRDefault="00DC0885" w:rsidP="006B6E53">
      <w:pPr>
        <w:rPr>
          <w:rFonts w:asciiTheme="majorHAnsi" w:hAnsiTheme="majorHAnsi"/>
          <w:b/>
          <w:color w:val="FF0000"/>
          <w:u w:val="single"/>
        </w:rPr>
      </w:pPr>
      <w:r w:rsidRPr="006B6E53">
        <w:rPr>
          <w:rFonts w:asciiTheme="majorHAnsi" w:hAnsiTheme="majorHAnsi"/>
          <w:color w:val="FF0000"/>
        </w:rPr>
        <w:t xml:space="preserve">                                                    </w:t>
      </w:r>
      <w:r w:rsidRPr="006B6E53">
        <w:rPr>
          <w:rFonts w:asciiTheme="majorHAnsi" w:hAnsiTheme="majorHAnsi"/>
          <w:b/>
          <w:color w:val="FF0000"/>
          <w:u w:val="single"/>
        </w:rPr>
        <w:t>HAN.01.3. Organizowanie sprzedaży</w:t>
      </w:r>
    </w:p>
    <w:p w:rsidR="008627EB" w:rsidRPr="006B6E53" w:rsidRDefault="008627EB" w:rsidP="008627EB">
      <w:pPr>
        <w:spacing w:after="0"/>
        <w:rPr>
          <w:rFonts w:asciiTheme="majorHAnsi" w:hAnsiTheme="majorHAnsi"/>
          <w:b/>
          <w:color w:val="00B050"/>
        </w:rPr>
      </w:pPr>
      <w:r w:rsidRPr="006B6E53">
        <w:rPr>
          <w:rFonts w:asciiTheme="majorHAnsi" w:hAnsiTheme="majorHAnsi"/>
          <w:b/>
          <w:color w:val="00B050"/>
        </w:rPr>
        <w:t>16.03.2020 r.  Poniedziałek</w:t>
      </w:r>
    </w:p>
    <w:p w:rsidR="00223244" w:rsidRPr="006B6E53" w:rsidRDefault="008627EB" w:rsidP="008627EB">
      <w:pPr>
        <w:spacing w:after="0"/>
        <w:rPr>
          <w:rFonts w:asciiTheme="majorHAnsi" w:hAnsiTheme="majorHAnsi"/>
        </w:rPr>
      </w:pPr>
      <w:r w:rsidRPr="006B6E53">
        <w:rPr>
          <w:rFonts w:asciiTheme="majorHAnsi" w:hAnsiTheme="majorHAnsi"/>
        </w:rPr>
        <w:t>T.  20</w:t>
      </w:r>
      <w:r w:rsidR="00DC0885" w:rsidRPr="006B6E53">
        <w:rPr>
          <w:rFonts w:asciiTheme="majorHAnsi" w:hAnsiTheme="majorHAnsi"/>
        </w:rPr>
        <w:t>. Elementy oznakowania towarów i opakowań.</w:t>
      </w:r>
    </w:p>
    <w:p w:rsidR="008627EB" w:rsidRPr="006B6E53" w:rsidRDefault="008627EB" w:rsidP="008627EB">
      <w:pPr>
        <w:spacing w:after="0"/>
        <w:rPr>
          <w:rFonts w:asciiTheme="majorHAnsi" w:hAnsiTheme="majorHAnsi"/>
        </w:rPr>
      </w:pPr>
      <w:r w:rsidRPr="006B6E53">
        <w:rPr>
          <w:rFonts w:asciiTheme="majorHAnsi" w:hAnsiTheme="majorHAnsi"/>
        </w:rPr>
        <w:t>T.  21</w:t>
      </w:r>
      <w:r w:rsidR="00B4370D" w:rsidRPr="006B6E53">
        <w:rPr>
          <w:rFonts w:asciiTheme="majorHAnsi" w:hAnsiTheme="majorHAnsi"/>
        </w:rPr>
        <w:t>. Ogólne zasady znakowania towarów</w:t>
      </w:r>
    </w:p>
    <w:p w:rsidR="008627EB" w:rsidRPr="008E284B" w:rsidRDefault="008627EB" w:rsidP="008627EB">
      <w:pPr>
        <w:spacing w:after="0"/>
        <w:ind w:left="720"/>
        <w:rPr>
          <w:rFonts w:asciiTheme="majorHAnsi" w:hAnsiTheme="majorHAnsi"/>
          <w:sz w:val="6"/>
          <w:szCs w:val="6"/>
        </w:rPr>
      </w:pPr>
    </w:p>
    <w:p w:rsidR="00DC58AB" w:rsidRPr="00DC58AB" w:rsidRDefault="00DC58AB" w:rsidP="008E284B">
      <w:pPr>
        <w:spacing w:after="0" w:line="240" w:lineRule="auto"/>
        <w:rPr>
          <w:rFonts w:asciiTheme="majorHAnsi" w:hAnsiTheme="majorHAnsi"/>
        </w:rPr>
      </w:pPr>
      <w:r w:rsidRPr="00DC58AB">
        <w:rPr>
          <w:rFonts w:asciiTheme="majorHAnsi" w:hAnsiTheme="majorHAnsi"/>
        </w:rPr>
        <w:t>Każdy produkt, który ma opakowanie, </w:t>
      </w:r>
      <w:r w:rsidRPr="006B6E53">
        <w:rPr>
          <w:rFonts w:asciiTheme="majorHAnsi" w:hAnsiTheme="majorHAnsi"/>
        </w:rPr>
        <w:t>powinien być odpowiednio oznakowany</w:t>
      </w:r>
      <w:r w:rsidRPr="00DC58AB">
        <w:rPr>
          <w:rFonts w:asciiTheme="majorHAnsi" w:hAnsiTheme="majorHAnsi"/>
        </w:rPr>
        <w:t xml:space="preserve">. Oznaczenie ma informować odbiorcę </w:t>
      </w:r>
      <w:r w:rsidR="006B6E53">
        <w:rPr>
          <w:rFonts w:asciiTheme="majorHAnsi" w:hAnsiTheme="majorHAnsi"/>
        </w:rPr>
        <w:t xml:space="preserve"> </w:t>
      </w:r>
      <w:r w:rsidRPr="00DC58AB">
        <w:rPr>
          <w:rFonts w:asciiTheme="majorHAnsi" w:hAnsiTheme="majorHAnsi"/>
        </w:rPr>
        <w:t>o:</w:t>
      </w:r>
    </w:p>
    <w:p w:rsidR="00DC58AB" w:rsidRPr="00DC58AB" w:rsidRDefault="00DC58AB" w:rsidP="008E284B">
      <w:pPr>
        <w:numPr>
          <w:ilvl w:val="0"/>
          <w:numId w:val="3"/>
        </w:numPr>
        <w:spacing w:after="100" w:afterAutospacing="1" w:line="240" w:lineRule="auto"/>
        <w:rPr>
          <w:rFonts w:asciiTheme="majorHAnsi" w:hAnsiTheme="majorHAnsi"/>
        </w:rPr>
      </w:pPr>
      <w:r w:rsidRPr="00DC58AB">
        <w:rPr>
          <w:rFonts w:asciiTheme="majorHAnsi" w:hAnsiTheme="majorHAnsi"/>
        </w:rPr>
        <w:t>producencie, importerze lub innym podmiocie wprowadzającym towar do obrotu</w:t>
      </w:r>
    </w:p>
    <w:p w:rsidR="00DC58AB" w:rsidRPr="00DC58AB" w:rsidRDefault="00DC58AB" w:rsidP="00DC58AB">
      <w:pPr>
        <w:numPr>
          <w:ilvl w:val="0"/>
          <w:numId w:val="3"/>
        </w:numPr>
        <w:spacing w:before="100" w:beforeAutospacing="1" w:after="100" w:afterAutospacing="1" w:line="240" w:lineRule="auto"/>
        <w:rPr>
          <w:rFonts w:asciiTheme="majorHAnsi" w:hAnsiTheme="majorHAnsi"/>
        </w:rPr>
      </w:pPr>
      <w:r w:rsidRPr="00DC58AB">
        <w:rPr>
          <w:rFonts w:asciiTheme="majorHAnsi" w:hAnsiTheme="majorHAnsi"/>
        </w:rPr>
        <w:t>danych umożliwiających identyfikację towaru</w:t>
      </w:r>
    </w:p>
    <w:p w:rsidR="00DC58AB" w:rsidRPr="00DC58AB" w:rsidRDefault="00DC58AB" w:rsidP="008E284B">
      <w:pPr>
        <w:numPr>
          <w:ilvl w:val="0"/>
          <w:numId w:val="3"/>
        </w:numPr>
        <w:spacing w:before="100" w:beforeAutospacing="1" w:after="100" w:afterAutospacing="1" w:line="240" w:lineRule="auto"/>
        <w:rPr>
          <w:rFonts w:asciiTheme="majorHAnsi" w:hAnsiTheme="majorHAnsi"/>
        </w:rPr>
      </w:pPr>
      <w:r w:rsidRPr="00DC58AB">
        <w:rPr>
          <w:rFonts w:asciiTheme="majorHAnsi" w:hAnsiTheme="majorHAnsi"/>
        </w:rPr>
        <w:t>innych elementach ważnych ze względu na charakter towaru (np. o składzie produktu, zawartości substancji niebezpiecznych, dawkowaniu, ograniczeniach przy spożyciu)</w:t>
      </w:r>
    </w:p>
    <w:p w:rsidR="00DC58AB" w:rsidRPr="00DC58AB" w:rsidRDefault="00DC58AB" w:rsidP="008E284B">
      <w:pPr>
        <w:spacing w:after="0" w:line="240" w:lineRule="auto"/>
        <w:rPr>
          <w:rFonts w:asciiTheme="majorHAnsi" w:hAnsiTheme="majorHAnsi"/>
        </w:rPr>
      </w:pPr>
      <w:r w:rsidRPr="00DC58AB">
        <w:rPr>
          <w:rFonts w:asciiTheme="majorHAnsi" w:hAnsiTheme="majorHAnsi"/>
        </w:rPr>
        <w:t xml:space="preserve">W przypadku towarów paczkowanych (czyli takich, które są spakowane w jednorazowym opakowaniu dowolnego rodzaju i ich ilości nominalnej nie można zmienić bez jego naruszenia) </w:t>
      </w:r>
      <w:r w:rsidR="006B6E53">
        <w:rPr>
          <w:rFonts w:asciiTheme="majorHAnsi" w:hAnsiTheme="majorHAnsi"/>
        </w:rPr>
        <w:t>musi być podana</w:t>
      </w:r>
      <w:r w:rsidRPr="00DC58AB">
        <w:rPr>
          <w:rFonts w:asciiTheme="majorHAnsi" w:hAnsiTheme="majorHAnsi"/>
        </w:rPr>
        <w:t>:</w:t>
      </w:r>
    </w:p>
    <w:p w:rsidR="00DC58AB" w:rsidRPr="00DC58AB" w:rsidRDefault="00DC58AB" w:rsidP="008E284B">
      <w:pPr>
        <w:numPr>
          <w:ilvl w:val="0"/>
          <w:numId w:val="4"/>
        </w:numPr>
        <w:spacing w:after="0" w:line="240" w:lineRule="auto"/>
        <w:rPr>
          <w:rFonts w:asciiTheme="majorHAnsi" w:hAnsiTheme="majorHAnsi"/>
        </w:rPr>
      </w:pPr>
      <w:r w:rsidRPr="00DC58AB">
        <w:rPr>
          <w:rFonts w:asciiTheme="majorHAnsi" w:hAnsiTheme="majorHAnsi"/>
        </w:rPr>
        <w:t>ilość nominaln</w:t>
      </w:r>
      <w:r w:rsidR="006B6E53">
        <w:rPr>
          <w:rFonts w:asciiTheme="majorHAnsi" w:hAnsiTheme="majorHAnsi"/>
        </w:rPr>
        <w:t>a</w:t>
      </w:r>
      <w:r w:rsidRPr="00DC58AB">
        <w:rPr>
          <w:rFonts w:asciiTheme="majorHAnsi" w:hAnsiTheme="majorHAnsi"/>
        </w:rPr>
        <w:t xml:space="preserve"> produktu</w:t>
      </w:r>
    </w:p>
    <w:p w:rsidR="00DC58AB" w:rsidRPr="00DC58AB" w:rsidRDefault="00DC58AB" w:rsidP="00DC58AB">
      <w:pPr>
        <w:numPr>
          <w:ilvl w:val="0"/>
          <w:numId w:val="4"/>
        </w:numPr>
        <w:spacing w:before="100" w:beforeAutospacing="1" w:after="100" w:afterAutospacing="1" w:line="240" w:lineRule="auto"/>
        <w:rPr>
          <w:rFonts w:asciiTheme="majorHAnsi" w:hAnsiTheme="majorHAnsi"/>
        </w:rPr>
      </w:pPr>
      <w:r w:rsidRPr="00DC58AB">
        <w:rPr>
          <w:rFonts w:asciiTheme="majorHAnsi" w:hAnsiTheme="majorHAnsi"/>
        </w:rPr>
        <w:t>dane firmy paczkującej lub zlecającej paczkowanie, dane sprowadzającego produkt albo importera.</w:t>
      </w:r>
    </w:p>
    <w:p w:rsidR="00DC58AB" w:rsidRPr="00DC58AB" w:rsidRDefault="00DC58AB" w:rsidP="008E284B">
      <w:pPr>
        <w:spacing w:after="0" w:line="240" w:lineRule="auto"/>
        <w:rPr>
          <w:rFonts w:asciiTheme="majorHAnsi" w:hAnsiTheme="majorHAnsi"/>
        </w:rPr>
      </w:pPr>
      <w:r w:rsidRPr="00DC58AB">
        <w:rPr>
          <w:rFonts w:asciiTheme="majorHAnsi" w:hAnsiTheme="majorHAnsi"/>
        </w:rPr>
        <w:t>Oznakowanie może występować w postaci:</w:t>
      </w:r>
    </w:p>
    <w:p w:rsidR="00DC58AB" w:rsidRPr="00DC58AB" w:rsidRDefault="00DC58AB" w:rsidP="008E284B">
      <w:pPr>
        <w:numPr>
          <w:ilvl w:val="0"/>
          <w:numId w:val="5"/>
        </w:numPr>
        <w:spacing w:after="100" w:afterAutospacing="1" w:line="240" w:lineRule="auto"/>
        <w:rPr>
          <w:rFonts w:asciiTheme="majorHAnsi" w:hAnsiTheme="majorHAnsi"/>
        </w:rPr>
      </w:pPr>
      <w:r w:rsidRPr="00DC58AB">
        <w:rPr>
          <w:rFonts w:asciiTheme="majorHAnsi" w:hAnsiTheme="majorHAnsi"/>
        </w:rPr>
        <w:t>etykiety, metki</w:t>
      </w:r>
    </w:p>
    <w:p w:rsidR="00DC58AB" w:rsidRPr="00DC58AB" w:rsidRDefault="00DC58AB" w:rsidP="00DC58AB">
      <w:pPr>
        <w:numPr>
          <w:ilvl w:val="0"/>
          <w:numId w:val="5"/>
        </w:numPr>
        <w:spacing w:before="100" w:beforeAutospacing="1" w:after="100" w:afterAutospacing="1" w:line="240" w:lineRule="auto"/>
        <w:rPr>
          <w:rFonts w:asciiTheme="majorHAnsi" w:hAnsiTheme="majorHAnsi"/>
        </w:rPr>
      </w:pPr>
      <w:r w:rsidRPr="00DC58AB">
        <w:rPr>
          <w:rFonts w:asciiTheme="majorHAnsi" w:hAnsiTheme="majorHAnsi"/>
        </w:rPr>
        <w:t>znaku firmowego lub handlowego</w:t>
      </w:r>
    </w:p>
    <w:p w:rsidR="00DC58AB" w:rsidRPr="00DC58AB" w:rsidRDefault="00DC58AB" w:rsidP="00DC58AB">
      <w:pPr>
        <w:numPr>
          <w:ilvl w:val="0"/>
          <w:numId w:val="5"/>
        </w:numPr>
        <w:spacing w:before="100" w:beforeAutospacing="1" w:after="100" w:afterAutospacing="1" w:line="240" w:lineRule="auto"/>
        <w:rPr>
          <w:rFonts w:asciiTheme="majorHAnsi" w:hAnsiTheme="majorHAnsi"/>
        </w:rPr>
      </w:pPr>
      <w:r w:rsidRPr="00DC58AB">
        <w:rPr>
          <w:rFonts w:asciiTheme="majorHAnsi" w:hAnsiTheme="majorHAnsi"/>
        </w:rPr>
        <w:t>ilustracji</w:t>
      </w:r>
    </w:p>
    <w:p w:rsidR="00DC58AB" w:rsidRPr="00DC58AB" w:rsidRDefault="00DC58AB" w:rsidP="00DC58AB">
      <w:pPr>
        <w:numPr>
          <w:ilvl w:val="0"/>
          <w:numId w:val="5"/>
        </w:numPr>
        <w:spacing w:before="100" w:beforeAutospacing="1" w:after="100" w:afterAutospacing="1" w:line="240" w:lineRule="auto"/>
        <w:rPr>
          <w:rFonts w:asciiTheme="majorHAnsi" w:hAnsiTheme="majorHAnsi"/>
        </w:rPr>
      </w:pPr>
      <w:r w:rsidRPr="00DC58AB">
        <w:rPr>
          <w:rFonts w:asciiTheme="majorHAnsi" w:hAnsiTheme="majorHAnsi"/>
        </w:rPr>
        <w:t>opisu słownego, drukowanego, tłoczonego albo odbitego.</w:t>
      </w:r>
    </w:p>
    <w:p w:rsidR="00DC58AB" w:rsidRPr="00DC58AB" w:rsidRDefault="00DC58AB" w:rsidP="008E284B">
      <w:pPr>
        <w:spacing w:after="0" w:line="240" w:lineRule="auto"/>
        <w:rPr>
          <w:rFonts w:asciiTheme="majorHAnsi" w:hAnsiTheme="majorHAnsi"/>
        </w:rPr>
      </w:pPr>
      <w:r w:rsidRPr="00DC58AB">
        <w:rPr>
          <w:rFonts w:asciiTheme="majorHAnsi" w:hAnsiTheme="majorHAnsi"/>
        </w:rPr>
        <w:t>Oznakowanie moż</w:t>
      </w:r>
      <w:r w:rsidR="006B6E53">
        <w:rPr>
          <w:rFonts w:asciiTheme="majorHAnsi" w:hAnsiTheme="majorHAnsi"/>
        </w:rPr>
        <w:t xml:space="preserve">na </w:t>
      </w:r>
      <w:r w:rsidRPr="00DC58AB">
        <w:rPr>
          <w:rFonts w:asciiTheme="majorHAnsi" w:hAnsiTheme="majorHAnsi"/>
        </w:rPr>
        <w:t>nanosić:</w:t>
      </w:r>
    </w:p>
    <w:p w:rsidR="00DC58AB" w:rsidRPr="00DC58AB" w:rsidRDefault="00DC58AB" w:rsidP="008E284B">
      <w:pPr>
        <w:numPr>
          <w:ilvl w:val="0"/>
          <w:numId w:val="6"/>
        </w:numPr>
        <w:spacing w:after="100" w:afterAutospacing="1" w:line="240" w:lineRule="auto"/>
        <w:rPr>
          <w:rFonts w:asciiTheme="majorHAnsi" w:hAnsiTheme="majorHAnsi"/>
        </w:rPr>
      </w:pPr>
      <w:r w:rsidRPr="00DC58AB">
        <w:rPr>
          <w:rFonts w:asciiTheme="majorHAnsi" w:hAnsiTheme="majorHAnsi"/>
        </w:rPr>
        <w:t>bezpośrednio na produkt</w:t>
      </w:r>
    </w:p>
    <w:p w:rsidR="00DC58AB" w:rsidRPr="00DC58AB" w:rsidRDefault="00DC58AB" w:rsidP="00DC58AB">
      <w:pPr>
        <w:numPr>
          <w:ilvl w:val="0"/>
          <w:numId w:val="6"/>
        </w:numPr>
        <w:spacing w:before="100" w:beforeAutospacing="1" w:after="100" w:afterAutospacing="1" w:line="240" w:lineRule="auto"/>
        <w:rPr>
          <w:rFonts w:asciiTheme="majorHAnsi" w:hAnsiTheme="majorHAnsi"/>
        </w:rPr>
      </w:pPr>
      <w:r w:rsidRPr="00DC58AB">
        <w:rPr>
          <w:rFonts w:asciiTheme="majorHAnsi" w:hAnsiTheme="majorHAnsi"/>
        </w:rPr>
        <w:t>na opakowanie</w:t>
      </w:r>
    </w:p>
    <w:p w:rsidR="00DC58AB" w:rsidRPr="00DC58AB" w:rsidRDefault="00DC58AB" w:rsidP="00DC58AB">
      <w:pPr>
        <w:numPr>
          <w:ilvl w:val="0"/>
          <w:numId w:val="6"/>
        </w:numPr>
        <w:spacing w:before="100" w:beforeAutospacing="1" w:after="100" w:afterAutospacing="1" w:line="240" w:lineRule="auto"/>
        <w:rPr>
          <w:rFonts w:asciiTheme="majorHAnsi" w:hAnsiTheme="majorHAnsi"/>
        </w:rPr>
      </w:pPr>
      <w:r w:rsidRPr="00DC58AB">
        <w:rPr>
          <w:rFonts w:asciiTheme="majorHAnsi" w:hAnsiTheme="majorHAnsi"/>
        </w:rPr>
        <w:t>na pojemnik.</w:t>
      </w:r>
    </w:p>
    <w:p w:rsidR="00DC58AB" w:rsidRPr="00DC58AB" w:rsidRDefault="00DC58AB" w:rsidP="00DC58AB">
      <w:pPr>
        <w:spacing w:after="100" w:afterAutospacing="1" w:line="240" w:lineRule="auto"/>
        <w:rPr>
          <w:rFonts w:asciiTheme="majorHAnsi" w:hAnsiTheme="majorHAnsi"/>
        </w:rPr>
      </w:pPr>
      <w:r w:rsidRPr="00DC58AB">
        <w:rPr>
          <w:rFonts w:asciiTheme="majorHAnsi" w:hAnsiTheme="majorHAnsi"/>
        </w:rPr>
        <w:t>Moż</w:t>
      </w:r>
      <w:r w:rsidR="006B6E53">
        <w:rPr>
          <w:rFonts w:asciiTheme="majorHAnsi" w:hAnsiTheme="majorHAnsi"/>
        </w:rPr>
        <w:t xml:space="preserve">na </w:t>
      </w:r>
      <w:r w:rsidRPr="00DC58AB">
        <w:rPr>
          <w:rFonts w:asciiTheme="majorHAnsi" w:hAnsiTheme="majorHAnsi"/>
        </w:rPr>
        <w:t xml:space="preserve"> też dołączać je lub uzupełniać w formie ulotki.</w:t>
      </w:r>
    </w:p>
    <w:p w:rsidR="00DC58AB" w:rsidRPr="00DC58AB" w:rsidRDefault="00DC58AB" w:rsidP="00DC58AB">
      <w:pPr>
        <w:spacing w:after="100" w:afterAutospacing="1" w:line="240" w:lineRule="auto"/>
        <w:rPr>
          <w:rFonts w:asciiTheme="majorHAnsi" w:hAnsiTheme="majorHAnsi"/>
        </w:rPr>
      </w:pPr>
      <w:r w:rsidRPr="00DC58AB">
        <w:rPr>
          <w:rFonts w:asciiTheme="majorHAnsi" w:hAnsiTheme="majorHAnsi"/>
        </w:rPr>
        <w:t xml:space="preserve">Znakowanie towarów to również nanoszenie symboli potwierdzających bezpieczeństwo produktów. Najbardziej popularny z nich to znak CE. </w:t>
      </w:r>
    </w:p>
    <w:p w:rsidR="00DC58AB" w:rsidRPr="00DC58AB" w:rsidRDefault="006B6E53" w:rsidP="008E284B">
      <w:pPr>
        <w:spacing w:after="0" w:line="240" w:lineRule="auto"/>
        <w:rPr>
          <w:rFonts w:asciiTheme="majorHAnsi" w:hAnsiTheme="majorHAnsi"/>
        </w:rPr>
      </w:pPr>
      <w:r>
        <w:rPr>
          <w:rFonts w:asciiTheme="majorHAnsi" w:hAnsiTheme="majorHAnsi"/>
        </w:rPr>
        <w:t>O</w:t>
      </w:r>
      <w:r w:rsidR="00DC58AB" w:rsidRPr="00DC58AB">
        <w:rPr>
          <w:rFonts w:asciiTheme="majorHAnsi" w:hAnsiTheme="majorHAnsi"/>
        </w:rPr>
        <w:t>znakowanie wyrobu musi:</w:t>
      </w:r>
    </w:p>
    <w:p w:rsidR="00DC58AB" w:rsidRPr="00DC58AB" w:rsidRDefault="00DC58AB" w:rsidP="008E284B">
      <w:pPr>
        <w:numPr>
          <w:ilvl w:val="0"/>
          <w:numId w:val="8"/>
        </w:numPr>
        <w:spacing w:after="100" w:afterAutospacing="1" w:line="240" w:lineRule="auto"/>
        <w:rPr>
          <w:rFonts w:asciiTheme="majorHAnsi" w:hAnsiTheme="majorHAnsi"/>
        </w:rPr>
      </w:pPr>
      <w:r w:rsidRPr="00DC58AB">
        <w:rPr>
          <w:rFonts w:asciiTheme="majorHAnsi" w:hAnsiTheme="majorHAnsi"/>
        </w:rPr>
        <w:t>w pełni informować nabywcę o wszystkich istotnych danych</w:t>
      </w:r>
    </w:p>
    <w:p w:rsidR="00DC58AB" w:rsidRPr="00DC58AB" w:rsidRDefault="00DC58AB" w:rsidP="00DC58AB">
      <w:pPr>
        <w:numPr>
          <w:ilvl w:val="0"/>
          <w:numId w:val="8"/>
        </w:numPr>
        <w:spacing w:before="100" w:beforeAutospacing="1" w:after="100" w:afterAutospacing="1" w:line="240" w:lineRule="auto"/>
        <w:rPr>
          <w:rFonts w:asciiTheme="majorHAnsi" w:hAnsiTheme="majorHAnsi"/>
        </w:rPr>
      </w:pPr>
      <w:r w:rsidRPr="00DC58AB">
        <w:rPr>
          <w:rFonts w:asciiTheme="majorHAnsi" w:hAnsiTheme="majorHAnsi"/>
        </w:rPr>
        <w:t>zawierać wymagane ostrzeżenia lub informacje o ograniczeniach</w:t>
      </w:r>
    </w:p>
    <w:p w:rsidR="00DC58AB" w:rsidRPr="00DC58AB" w:rsidRDefault="00DC58AB" w:rsidP="00DC58AB">
      <w:pPr>
        <w:numPr>
          <w:ilvl w:val="0"/>
          <w:numId w:val="8"/>
        </w:numPr>
        <w:spacing w:before="100" w:beforeAutospacing="1" w:after="100" w:afterAutospacing="1" w:line="240" w:lineRule="auto"/>
        <w:rPr>
          <w:rFonts w:asciiTheme="majorHAnsi" w:hAnsiTheme="majorHAnsi"/>
        </w:rPr>
      </w:pPr>
      <w:r w:rsidRPr="00DC58AB">
        <w:rPr>
          <w:rFonts w:asciiTheme="majorHAnsi" w:hAnsiTheme="majorHAnsi"/>
        </w:rPr>
        <w:t>posiadać instrukcję dotyczącą jego użycia.</w:t>
      </w:r>
    </w:p>
    <w:p w:rsidR="00DC58AB" w:rsidRPr="00DC58AB" w:rsidRDefault="00DC58AB" w:rsidP="008E284B">
      <w:pPr>
        <w:spacing w:after="0" w:line="240" w:lineRule="auto"/>
        <w:rPr>
          <w:rFonts w:asciiTheme="majorHAnsi" w:hAnsiTheme="majorHAnsi"/>
        </w:rPr>
      </w:pPr>
      <w:r w:rsidRPr="00DC58AB">
        <w:rPr>
          <w:rFonts w:asciiTheme="majorHAnsi" w:hAnsiTheme="majorHAnsi"/>
        </w:rPr>
        <w:t>Obowiązek oznakowania towarów mają głównie:</w:t>
      </w:r>
    </w:p>
    <w:p w:rsidR="00DC58AB" w:rsidRPr="00DC58AB" w:rsidRDefault="00DC58AB" w:rsidP="008E284B">
      <w:pPr>
        <w:numPr>
          <w:ilvl w:val="0"/>
          <w:numId w:val="9"/>
        </w:numPr>
        <w:spacing w:after="100" w:afterAutospacing="1" w:line="240" w:lineRule="auto"/>
        <w:rPr>
          <w:rFonts w:asciiTheme="majorHAnsi" w:hAnsiTheme="majorHAnsi"/>
        </w:rPr>
      </w:pPr>
      <w:r w:rsidRPr="00DC58AB">
        <w:rPr>
          <w:rFonts w:asciiTheme="majorHAnsi" w:hAnsiTheme="majorHAnsi"/>
        </w:rPr>
        <w:t>producent</w:t>
      </w:r>
    </w:p>
    <w:p w:rsidR="00DC58AB" w:rsidRPr="00DC58AB" w:rsidRDefault="00DC58AB" w:rsidP="00DC58AB">
      <w:pPr>
        <w:numPr>
          <w:ilvl w:val="0"/>
          <w:numId w:val="9"/>
        </w:numPr>
        <w:spacing w:before="100" w:beforeAutospacing="1" w:after="100" w:afterAutospacing="1" w:line="240" w:lineRule="auto"/>
        <w:rPr>
          <w:rFonts w:asciiTheme="majorHAnsi" w:hAnsiTheme="majorHAnsi"/>
        </w:rPr>
      </w:pPr>
      <w:r w:rsidRPr="00DC58AB">
        <w:rPr>
          <w:rFonts w:asciiTheme="majorHAnsi" w:hAnsiTheme="majorHAnsi"/>
        </w:rPr>
        <w:t>importer</w:t>
      </w:r>
    </w:p>
    <w:p w:rsidR="00DC58AB" w:rsidRPr="00DC58AB" w:rsidRDefault="00DC58AB" w:rsidP="00DC58AB">
      <w:pPr>
        <w:numPr>
          <w:ilvl w:val="0"/>
          <w:numId w:val="9"/>
        </w:numPr>
        <w:spacing w:before="100" w:beforeAutospacing="1" w:after="100" w:afterAutospacing="1" w:line="240" w:lineRule="auto"/>
        <w:rPr>
          <w:rFonts w:asciiTheme="majorHAnsi" w:hAnsiTheme="majorHAnsi"/>
        </w:rPr>
      </w:pPr>
      <w:r w:rsidRPr="00DC58AB">
        <w:rPr>
          <w:rFonts w:asciiTheme="majorHAnsi" w:hAnsiTheme="majorHAnsi"/>
        </w:rPr>
        <w:t>dystrybutor, który wprowadza dany towar do obrotu handlowego.</w:t>
      </w:r>
    </w:p>
    <w:p w:rsidR="00DC58AB" w:rsidRPr="00DC58AB" w:rsidRDefault="006B6E53" w:rsidP="00DC58AB">
      <w:pPr>
        <w:spacing w:after="100" w:afterAutospacing="1" w:line="240" w:lineRule="auto"/>
        <w:rPr>
          <w:rFonts w:asciiTheme="majorHAnsi" w:hAnsiTheme="majorHAnsi"/>
        </w:rPr>
      </w:pPr>
      <w:r>
        <w:rPr>
          <w:rFonts w:asciiTheme="majorHAnsi" w:hAnsiTheme="majorHAnsi"/>
        </w:rPr>
        <w:t>Z</w:t>
      </w:r>
      <w:r w:rsidR="00DC58AB" w:rsidRPr="00DC58AB">
        <w:rPr>
          <w:rFonts w:asciiTheme="majorHAnsi" w:hAnsiTheme="majorHAnsi"/>
        </w:rPr>
        <w:t xml:space="preserve">apisy informacyjne </w:t>
      </w:r>
      <w:r>
        <w:rPr>
          <w:rFonts w:asciiTheme="majorHAnsi" w:hAnsiTheme="majorHAnsi"/>
        </w:rPr>
        <w:t xml:space="preserve"> umieszczone  na towarach muszą być </w:t>
      </w:r>
      <w:r w:rsidR="00DC58AB" w:rsidRPr="00DC58AB">
        <w:rPr>
          <w:rFonts w:asciiTheme="majorHAnsi" w:hAnsiTheme="majorHAnsi"/>
        </w:rPr>
        <w:t>w języku kraju, do którego mają trafić. Oznakowanie może być też wielojęzyczne.</w:t>
      </w:r>
    </w:p>
    <w:p w:rsidR="00DC58AB" w:rsidRPr="006B6E53" w:rsidRDefault="00DC58AB" w:rsidP="008627EB">
      <w:pPr>
        <w:spacing w:after="0"/>
        <w:ind w:left="720"/>
        <w:rPr>
          <w:rFonts w:asciiTheme="majorHAnsi" w:hAnsiTheme="majorHAnsi"/>
        </w:rPr>
      </w:pPr>
      <w:r w:rsidRPr="006B6E53">
        <w:rPr>
          <w:rFonts w:asciiTheme="majorHAnsi" w:hAnsiTheme="majorHAnsi"/>
        </w:rPr>
        <w:t xml:space="preserve">(źródło: </w:t>
      </w:r>
      <w:hyperlink r:id="rId5" w:history="1">
        <w:r w:rsidRPr="006B6E53">
          <w:rPr>
            <w:rFonts w:asciiTheme="majorHAnsi" w:hAnsiTheme="majorHAnsi"/>
          </w:rPr>
          <w:t>https://www.biznes.gov.pl/pl/publikacje/3843-ogolne-zasady-znakowania</w:t>
        </w:r>
      </w:hyperlink>
      <w:r w:rsidRPr="006B6E53">
        <w:rPr>
          <w:rFonts w:asciiTheme="majorHAnsi" w:hAnsiTheme="majorHAnsi"/>
        </w:rPr>
        <w:t xml:space="preserve"> )</w:t>
      </w:r>
    </w:p>
    <w:p w:rsidR="00B4370D" w:rsidRPr="006B6E53" w:rsidRDefault="00B4370D" w:rsidP="008627EB">
      <w:pPr>
        <w:spacing w:after="0"/>
        <w:ind w:left="720"/>
        <w:rPr>
          <w:rFonts w:asciiTheme="majorHAnsi" w:hAnsiTheme="majorHAnsi"/>
        </w:rPr>
      </w:pPr>
    </w:p>
    <w:p w:rsidR="006B6E53" w:rsidRPr="00DC58AB" w:rsidRDefault="00B4370D" w:rsidP="0067161E">
      <w:pPr>
        <w:spacing w:after="0"/>
        <w:rPr>
          <w:rFonts w:asciiTheme="majorHAnsi" w:hAnsiTheme="majorHAnsi"/>
        </w:rPr>
      </w:pPr>
      <w:r w:rsidRPr="006B6E53">
        <w:rPr>
          <w:rFonts w:asciiTheme="majorHAnsi" w:hAnsiTheme="majorHAnsi"/>
        </w:rPr>
        <w:t>T.  22</w:t>
      </w:r>
      <w:r w:rsidR="006B6E53" w:rsidRPr="006B6E53">
        <w:rPr>
          <w:rFonts w:asciiTheme="majorHAnsi" w:hAnsiTheme="majorHAnsi"/>
        </w:rPr>
        <w:t xml:space="preserve">. Kody kreskowe </w:t>
      </w:r>
    </w:p>
    <w:p w:rsidR="006B6E53" w:rsidRPr="00DC58AB" w:rsidRDefault="006B6E53" w:rsidP="006B6E53">
      <w:pPr>
        <w:spacing w:after="100" w:afterAutospacing="1" w:line="240" w:lineRule="auto"/>
        <w:rPr>
          <w:rFonts w:asciiTheme="majorHAnsi" w:hAnsiTheme="majorHAnsi"/>
        </w:rPr>
      </w:pPr>
      <w:r w:rsidRPr="00DC58AB">
        <w:rPr>
          <w:rFonts w:asciiTheme="majorHAnsi" w:hAnsiTheme="majorHAnsi"/>
        </w:rPr>
        <w:t xml:space="preserve">Dobrym uzupełnieniem oznakowania towarów są kody kreskowe. W niektórych przypadkach (leki) </w:t>
      </w:r>
      <w:r w:rsidR="00C97BF6">
        <w:rPr>
          <w:rFonts w:asciiTheme="majorHAnsi" w:hAnsiTheme="majorHAnsi"/>
        </w:rPr>
        <w:t xml:space="preserve">muszą być stosowane </w:t>
      </w:r>
      <w:r w:rsidRPr="00DC58AB">
        <w:rPr>
          <w:rFonts w:asciiTheme="majorHAnsi" w:hAnsiTheme="majorHAnsi"/>
        </w:rPr>
        <w:t xml:space="preserve"> obowiązkowo. Kody kreskowe służą głównie do jednoznacznej identyfikacji produktów (każdy produkt ma swój unikatowy kod) i przyczynia się do sprawnej obsługi klienta.</w:t>
      </w:r>
    </w:p>
    <w:p w:rsidR="006B6E53" w:rsidRPr="006B6E53" w:rsidRDefault="006B6E53" w:rsidP="008E284B">
      <w:pPr>
        <w:spacing w:after="100" w:afterAutospacing="1" w:line="240" w:lineRule="auto"/>
        <w:rPr>
          <w:rFonts w:asciiTheme="majorHAnsi" w:hAnsiTheme="majorHAnsi"/>
        </w:rPr>
      </w:pPr>
      <w:r w:rsidRPr="00DC58AB">
        <w:rPr>
          <w:rFonts w:asciiTheme="majorHAnsi" w:hAnsiTheme="majorHAnsi"/>
        </w:rPr>
        <w:lastRenderedPageBreak/>
        <w:t xml:space="preserve">Oznaczenie w postaci kodów kreskowych umożliwia także gromadzenie danych o produkcie </w:t>
      </w:r>
      <w:r w:rsidR="008E284B">
        <w:rPr>
          <w:rFonts w:asciiTheme="majorHAnsi" w:hAnsiTheme="majorHAnsi"/>
        </w:rPr>
        <w:br/>
      </w:r>
      <w:r w:rsidRPr="00DC58AB">
        <w:rPr>
          <w:rFonts w:asciiTheme="majorHAnsi" w:hAnsiTheme="majorHAnsi"/>
        </w:rPr>
        <w:t xml:space="preserve">w każdym punkcie jego dystrybucji, przemieszczania lub magazynowania, np. kiedy produkt pojawia się na terenie firmy lub go opuszcza. Takie oznaczenie może być zatem elementem automatyzacji większości czynności logistycznych. Często też jest wymogiem narzucanym przez sieci handlowe. </w:t>
      </w:r>
    </w:p>
    <w:p w:rsidR="00310EB8" w:rsidRPr="006B6E53" w:rsidRDefault="00B4370D" w:rsidP="00B4370D">
      <w:pPr>
        <w:spacing w:after="0"/>
        <w:rPr>
          <w:rFonts w:asciiTheme="majorHAnsi" w:hAnsiTheme="majorHAnsi"/>
        </w:rPr>
      </w:pPr>
      <w:r w:rsidRPr="006B6E53">
        <w:rPr>
          <w:rFonts w:asciiTheme="majorHAnsi" w:hAnsiTheme="majorHAnsi"/>
        </w:rPr>
        <w:t>T.  23</w:t>
      </w:r>
      <w:r w:rsidR="0067161E">
        <w:rPr>
          <w:rFonts w:asciiTheme="majorHAnsi" w:hAnsiTheme="majorHAnsi"/>
        </w:rPr>
        <w:t>.  Znaki informacyjne.</w:t>
      </w:r>
    </w:p>
    <w:p w:rsidR="00B4370D" w:rsidRPr="006B6E53" w:rsidRDefault="00B4370D" w:rsidP="00B4370D">
      <w:pPr>
        <w:spacing w:after="0"/>
        <w:rPr>
          <w:rFonts w:asciiTheme="majorHAnsi" w:hAnsiTheme="majorHAnsi"/>
        </w:rPr>
      </w:pPr>
      <w:r w:rsidRPr="006B6E53">
        <w:rPr>
          <w:rFonts w:asciiTheme="majorHAnsi" w:hAnsiTheme="majorHAnsi"/>
        </w:rPr>
        <w:t>T.  24</w:t>
      </w:r>
      <w:r w:rsidR="0067161E">
        <w:rPr>
          <w:rFonts w:asciiTheme="majorHAnsi" w:hAnsiTheme="majorHAnsi"/>
        </w:rPr>
        <w:t>. Znaki niebezpieczeństwa.</w:t>
      </w:r>
    </w:p>
    <w:p w:rsidR="00B4370D" w:rsidRDefault="00B4370D" w:rsidP="00B4370D">
      <w:pPr>
        <w:spacing w:after="0"/>
        <w:rPr>
          <w:rFonts w:asciiTheme="majorHAnsi" w:hAnsiTheme="majorHAnsi"/>
        </w:rPr>
      </w:pPr>
      <w:r w:rsidRPr="006B6E53">
        <w:rPr>
          <w:rFonts w:asciiTheme="majorHAnsi" w:hAnsiTheme="majorHAnsi"/>
        </w:rPr>
        <w:t>T.  25</w:t>
      </w:r>
      <w:r w:rsidR="0067161E">
        <w:rPr>
          <w:rFonts w:asciiTheme="majorHAnsi" w:hAnsiTheme="majorHAnsi"/>
        </w:rPr>
        <w:t>. Znaki manipulacyjne.</w:t>
      </w:r>
    </w:p>
    <w:p w:rsidR="0067161E" w:rsidRDefault="0067161E" w:rsidP="00B4370D">
      <w:pPr>
        <w:spacing w:after="0"/>
        <w:rPr>
          <w:rFonts w:asciiTheme="majorHAnsi" w:hAnsiTheme="majorHAnsi"/>
        </w:rPr>
      </w:pPr>
    </w:p>
    <w:p w:rsidR="0067161E" w:rsidRDefault="0067161E" w:rsidP="00B4370D">
      <w:pPr>
        <w:spacing w:after="0"/>
        <w:rPr>
          <w:rFonts w:asciiTheme="majorHAnsi" w:hAnsiTheme="majorHAnsi"/>
        </w:rPr>
      </w:pPr>
      <w:r>
        <w:rPr>
          <w:rFonts w:asciiTheme="majorHAnsi" w:hAnsiTheme="majorHAnsi"/>
        </w:rPr>
        <w:t>Poniżej podaję link do opracowania „Oznakowanie towarów przeznaczonych do sprzedaży”</w:t>
      </w:r>
    </w:p>
    <w:p w:rsidR="0067161E" w:rsidRPr="006B6E53" w:rsidRDefault="0067161E" w:rsidP="00B4370D">
      <w:pPr>
        <w:spacing w:after="0"/>
        <w:rPr>
          <w:rFonts w:asciiTheme="majorHAnsi" w:hAnsiTheme="majorHAnsi"/>
        </w:rPr>
      </w:pPr>
    </w:p>
    <w:p w:rsidR="00B4370D" w:rsidRDefault="0067161E" w:rsidP="008627EB">
      <w:pPr>
        <w:spacing w:after="0"/>
        <w:ind w:left="720"/>
      </w:pPr>
      <w:hyperlink r:id="rId6" w:history="1">
        <w:r w:rsidRPr="00C651C3">
          <w:rPr>
            <w:rStyle w:val="Hipercze"/>
          </w:rPr>
          <w:t>http://online.p</w:t>
        </w:r>
        <w:r w:rsidRPr="00C651C3">
          <w:rPr>
            <w:rStyle w:val="Hipercze"/>
          </w:rPr>
          <w:t>u</w:t>
        </w:r>
        <w:r w:rsidRPr="00C651C3">
          <w:rPr>
            <w:rStyle w:val="Hipercze"/>
          </w:rPr>
          <w:t>bhtml5.com/gisr/pvri/</w:t>
        </w:r>
      </w:hyperlink>
    </w:p>
    <w:p w:rsidR="0067161E" w:rsidRDefault="0067161E" w:rsidP="008627EB">
      <w:pPr>
        <w:spacing w:after="0"/>
        <w:ind w:left="720"/>
      </w:pPr>
    </w:p>
    <w:p w:rsidR="0067161E" w:rsidRDefault="0067161E" w:rsidP="008627EB">
      <w:pPr>
        <w:spacing w:after="0"/>
        <w:ind w:left="720"/>
        <w:rPr>
          <w:rFonts w:asciiTheme="majorHAnsi" w:hAnsiTheme="majorHAnsi"/>
        </w:rPr>
      </w:pPr>
      <w:r w:rsidRPr="0067161E">
        <w:rPr>
          <w:rFonts w:asciiTheme="majorHAnsi" w:hAnsiTheme="majorHAnsi"/>
        </w:rPr>
        <w:t xml:space="preserve">Opracowanie jest </w:t>
      </w:r>
      <w:r>
        <w:rPr>
          <w:rFonts w:asciiTheme="majorHAnsi" w:hAnsiTheme="majorHAnsi"/>
        </w:rPr>
        <w:t xml:space="preserve"> ilustrowane, krótkie i bardzo przejrzyste.</w:t>
      </w:r>
    </w:p>
    <w:p w:rsidR="008E284B" w:rsidRDefault="008E284B" w:rsidP="008627EB">
      <w:pPr>
        <w:spacing w:after="0"/>
        <w:ind w:left="720"/>
        <w:rPr>
          <w:rFonts w:asciiTheme="majorHAnsi" w:hAnsiTheme="majorHAnsi"/>
        </w:rPr>
      </w:pPr>
    </w:p>
    <w:p w:rsidR="008E284B" w:rsidRDefault="008E284B" w:rsidP="008627EB">
      <w:pPr>
        <w:spacing w:after="0"/>
        <w:ind w:left="720"/>
        <w:rPr>
          <w:rFonts w:asciiTheme="majorHAnsi" w:hAnsiTheme="majorHAnsi"/>
        </w:rPr>
      </w:pPr>
    </w:p>
    <w:p w:rsidR="008E284B" w:rsidRDefault="008E284B" w:rsidP="008E284B">
      <w:pPr>
        <w:spacing w:after="0"/>
        <w:ind w:left="720"/>
        <w:rPr>
          <w:rFonts w:asciiTheme="majorHAnsi" w:hAnsiTheme="majorHAnsi"/>
          <w:b/>
          <w:color w:val="0070C0"/>
        </w:rPr>
      </w:pPr>
      <w:r w:rsidRPr="003E74E3">
        <w:rPr>
          <w:rFonts w:asciiTheme="majorHAnsi" w:hAnsiTheme="majorHAnsi"/>
          <w:b/>
          <w:color w:val="0070C0"/>
        </w:rPr>
        <w:t xml:space="preserve">Do:   </w:t>
      </w:r>
      <w:r w:rsidR="003E74E3" w:rsidRPr="003E74E3">
        <w:rPr>
          <w:rFonts w:asciiTheme="majorHAnsi" w:hAnsiTheme="majorHAnsi"/>
          <w:b/>
          <w:color w:val="0070C0"/>
        </w:rPr>
        <w:t xml:space="preserve">Anny, </w:t>
      </w:r>
      <w:r w:rsidRPr="003E74E3">
        <w:rPr>
          <w:rFonts w:asciiTheme="majorHAnsi" w:hAnsiTheme="majorHAnsi"/>
          <w:b/>
          <w:color w:val="0070C0"/>
        </w:rPr>
        <w:t xml:space="preserve">Dominiki, Karoliny, Katarzyny, Magdaleny, Małgorzaty, Mariki, Martyny, </w:t>
      </w:r>
      <w:r w:rsidR="003E74E3">
        <w:rPr>
          <w:rFonts w:asciiTheme="majorHAnsi" w:hAnsiTheme="majorHAnsi"/>
          <w:b/>
          <w:color w:val="0070C0"/>
        </w:rPr>
        <w:br/>
        <w:t xml:space="preserve">          </w:t>
      </w:r>
      <w:r w:rsidRPr="003E74E3">
        <w:rPr>
          <w:rFonts w:asciiTheme="majorHAnsi" w:hAnsiTheme="majorHAnsi"/>
          <w:b/>
          <w:color w:val="0070C0"/>
        </w:rPr>
        <w:t xml:space="preserve">Natalii, </w:t>
      </w:r>
      <w:proofErr w:type="spellStart"/>
      <w:r w:rsidRPr="003E74E3">
        <w:rPr>
          <w:rFonts w:asciiTheme="majorHAnsi" w:hAnsiTheme="majorHAnsi"/>
          <w:b/>
          <w:color w:val="0070C0"/>
        </w:rPr>
        <w:t>Nikoletty</w:t>
      </w:r>
      <w:proofErr w:type="spellEnd"/>
      <w:r w:rsidRPr="003E74E3">
        <w:rPr>
          <w:rFonts w:asciiTheme="majorHAnsi" w:hAnsiTheme="majorHAnsi"/>
          <w:b/>
          <w:color w:val="0070C0"/>
        </w:rPr>
        <w:t>, Patrycji, Weroniki, Artura, Dawida, Michała, Rafała</w:t>
      </w:r>
      <w:r w:rsidR="003E74E3" w:rsidRPr="003E74E3">
        <w:rPr>
          <w:rFonts w:asciiTheme="majorHAnsi" w:hAnsiTheme="majorHAnsi"/>
          <w:b/>
          <w:color w:val="0070C0"/>
        </w:rPr>
        <w:t xml:space="preserve"> </w:t>
      </w:r>
      <w:r w:rsidR="003E74E3" w:rsidRPr="003E74E3">
        <w:rPr>
          <w:rFonts w:asciiTheme="majorHAnsi" w:hAnsiTheme="majorHAnsi"/>
          <w:b/>
          <w:color w:val="0070C0"/>
        </w:rPr>
        <w:sym w:font="Wingdings" w:char="F04A"/>
      </w:r>
    </w:p>
    <w:p w:rsidR="003E74E3" w:rsidRDefault="003E74E3" w:rsidP="008E284B">
      <w:pPr>
        <w:spacing w:after="0"/>
        <w:ind w:left="720"/>
        <w:rPr>
          <w:rFonts w:asciiTheme="majorHAnsi" w:hAnsiTheme="majorHAnsi"/>
        </w:rPr>
      </w:pPr>
    </w:p>
    <w:p w:rsidR="003E74E3" w:rsidRDefault="003E74E3" w:rsidP="003E74E3">
      <w:pPr>
        <w:spacing w:after="0"/>
        <w:rPr>
          <w:rFonts w:asciiTheme="majorHAnsi" w:hAnsiTheme="majorHAnsi"/>
          <w:color w:val="0070C0"/>
        </w:rPr>
      </w:pPr>
      <w:r>
        <w:rPr>
          <w:rFonts w:asciiTheme="majorHAnsi" w:hAnsiTheme="majorHAnsi"/>
          <w:color w:val="0070C0"/>
        </w:rPr>
        <w:t xml:space="preserve">Proszę  sprawdzajcie  materiały z przedmiotu: Organizowanie sprzedaży,  na bieżąco, wtedy, kiedy miały być zajęcia. </w:t>
      </w:r>
    </w:p>
    <w:p w:rsidR="003E74E3" w:rsidRDefault="003E74E3" w:rsidP="003E74E3">
      <w:pPr>
        <w:spacing w:after="0"/>
        <w:rPr>
          <w:rFonts w:asciiTheme="majorHAnsi" w:hAnsiTheme="majorHAnsi"/>
          <w:color w:val="0070C0"/>
        </w:rPr>
      </w:pPr>
      <w:r>
        <w:rPr>
          <w:rFonts w:asciiTheme="majorHAnsi" w:hAnsiTheme="majorHAnsi"/>
          <w:color w:val="0070C0"/>
        </w:rPr>
        <w:t xml:space="preserve">Jeżeli jednak zdecydujecie, żeby wysłać Wam całość zagadnień z 46–ciu  godzin, proszę o informację na </w:t>
      </w:r>
      <w:proofErr w:type="spellStart"/>
      <w:r>
        <w:rPr>
          <w:rFonts w:asciiTheme="majorHAnsi" w:hAnsiTheme="majorHAnsi"/>
          <w:color w:val="0070C0"/>
        </w:rPr>
        <w:t>priv</w:t>
      </w:r>
      <w:proofErr w:type="spellEnd"/>
      <w:r>
        <w:rPr>
          <w:rFonts w:asciiTheme="majorHAnsi" w:hAnsiTheme="majorHAnsi"/>
          <w:color w:val="0070C0"/>
        </w:rPr>
        <w:t xml:space="preserve">.  </w:t>
      </w:r>
      <w:hyperlink r:id="rId7" w:history="1">
        <w:r w:rsidRPr="00C651C3">
          <w:rPr>
            <w:rStyle w:val="Hipercze"/>
            <w:rFonts w:asciiTheme="majorHAnsi" w:hAnsiTheme="majorHAnsi"/>
          </w:rPr>
          <w:t>jot0@onet.eu</w:t>
        </w:r>
      </w:hyperlink>
      <w:r>
        <w:rPr>
          <w:rFonts w:asciiTheme="majorHAnsi" w:hAnsiTheme="majorHAnsi"/>
          <w:color w:val="0070C0"/>
        </w:rPr>
        <w:t>.</w:t>
      </w:r>
    </w:p>
    <w:p w:rsidR="003E74E3" w:rsidRDefault="003E74E3" w:rsidP="003E74E3">
      <w:pPr>
        <w:spacing w:after="0"/>
        <w:rPr>
          <w:rFonts w:asciiTheme="majorHAnsi" w:hAnsiTheme="majorHAnsi"/>
          <w:color w:val="0070C0"/>
        </w:rPr>
      </w:pPr>
    </w:p>
    <w:p w:rsidR="003E74E3" w:rsidRDefault="003E74E3" w:rsidP="003E74E3">
      <w:pPr>
        <w:spacing w:after="0"/>
        <w:rPr>
          <w:rFonts w:asciiTheme="majorHAnsi" w:hAnsiTheme="majorHAnsi"/>
          <w:color w:val="0070C0"/>
        </w:rPr>
      </w:pPr>
      <w:r>
        <w:rPr>
          <w:rFonts w:asciiTheme="majorHAnsi" w:hAnsiTheme="majorHAnsi"/>
          <w:color w:val="0070C0"/>
        </w:rPr>
        <w:t xml:space="preserve">Helena </w:t>
      </w:r>
      <w:proofErr w:type="spellStart"/>
      <w:r>
        <w:rPr>
          <w:rFonts w:asciiTheme="majorHAnsi" w:hAnsiTheme="majorHAnsi"/>
          <w:color w:val="0070C0"/>
        </w:rPr>
        <w:t>Chodurek</w:t>
      </w:r>
      <w:proofErr w:type="spellEnd"/>
      <w:r>
        <w:rPr>
          <w:rFonts w:asciiTheme="majorHAnsi" w:hAnsiTheme="majorHAnsi"/>
          <w:color w:val="0070C0"/>
        </w:rPr>
        <w:t>, 15.03.2020 r.</w:t>
      </w:r>
    </w:p>
    <w:p w:rsidR="003E74E3" w:rsidRPr="003E74E3" w:rsidRDefault="003E74E3" w:rsidP="003E74E3">
      <w:pPr>
        <w:spacing w:after="0"/>
        <w:rPr>
          <w:rFonts w:asciiTheme="majorHAnsi" w:hAnsiTheme="majorHAnsi"/>
          <w:color w:val="0070C0"/>
        </w:rPr>
      </w:pPr>
    </w:p>
    <w:sectPr w:rsidR="003E74E3" w:rsidRPr="003E74E3" w:rsidSect="008E284B">
      <w:pgSz w:w="11906" w:h="16838"/>
      <w:pgMar w:top="851" w:right="851" w:bottom="95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0BC6"/>
    <w:multiLevelType w:val="hybridMultilevel"/>
    <w:tmpl w:val="C87CEB3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14F23807"/>
    <w:multiLevelType w:val="multilevel"/>
    <w:tmpl w:val="23BC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FC0944"/>
    <w:multiLevelType w:val="multilevel"/>
    <w:tmpl w:val="6ED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D83C8B"/>
    <w:multiLevelType w:val="hybridMultilevel"/>
    <w:tmpl w:val="E0EEC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0069DE"/>
    <w:multiLevelType w:val="multilevel"/>
    <w:tmpl w:val="5B8E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307B9F"/>
    <w:multiLevelType w:val="multilevel"/>
    <w:tmpl w:val="A248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945255"/>
    <w:multiLevelType w:val="multilevel"/>
    <w:tmpl w:val="A5D8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B4301EE"/>
    <w:multiLevelType w:val="multilevel"/>
    <w:tmpl w:val="8EBC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0666F70"/>
    <w:multiLevelType w:val="multilevel"/>
    <w:tmpl w:val="DC72B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7"/>
  </w:num>
  <w:num w:numId="5">
    <w:abstractNumId w:val="8"/>
  </w:num>
  <w:num w:numId="6">
    <w:abstractNumId w:val="5"/>
  </w:num>
  <w:num w:numId="7">
    <w:abstractNumId w:val="1"/>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4048F9"/>
    <w:rsid w:val="00223244"/>
    <w:rsid w:val="00310EB8"/>
    <w:rsid w:val="003E74E3"/>
    <w:rsid w:val="004048F9"/>
    <w:rsid w:val="0067161E"/>
    <w:rsid w:val="006B6E53"/>
    <w:rsid w:val="008627EB"/>
    <w:rsid w:val="008E284B"/>
    <w:rsid w:val="00B4370D"/>
    <w:rsid w:val="00C97BF6"/>
    <w:rsid w:val="00DC0885"/>
    <w:rsid w:val="00DC58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3244"/>
  </w:style>
  <w:style w:type="paragraph" w:styleId="Nagwek1">
    <w:name w:val="heading 1"/>
    <w:basedOn w:val="Normalny"/>
    <w:link w:val="Nagwek1Znak"/>
    <w:uiPriority w:val="9"/>
    <w:qFormat/>
    <w:rsid w:val="00DC58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DC58A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27EB"/>
    <w:pPr>
      <w:ind w:left="720"/>
      <w:contextualSpacing/>
    </w:pPr>
  </w:style>
  <w:style w:type="character" w:customStyle="1" w:styleId="Nagwek1Znak">
    <w:name w:val="Nagłówek 1 Znak"/>
    <w:basedOn w:val="Domylnaczcionkaakapitu"/>
    <w:link w:val="Nagwek1"/>
    <w:uiPriority w:val="9"/>
    <w:rsid w:val="00DC58AB"/>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DC58AB"/>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58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C58AB"/>
    <w:rPr>
      <w:b/>
      <w:bCs/>
    </w:rPr>
  </w:style>
  <w:style w:type="character" w:styleId="Hipercze">
    <w:name w:val="Hyperlink"/>
    <w:basedOn w:val="Domylnaczcionkaakapitu"/>
    <w:uiPriority w:val="99"/>
    <w:unhideWhenUsed/>
    <w:rsid w:val="00DC58AB"/>
    <w:rPr>
      <w:color w:val="0000FF"/>
      <w:u w:val="single"/>
    </w:rPr>
  </w:style>
  <w:style w:type="character" w:styleId="UyteHipercze">
    <w:name w:val="FollowedHyperlink"/>
    <w:basedOn w:val="Domylnaczcionkaakapitu"/>
    <w:uiPriority w:val="99"/>
    <w:semiHidden/>
    <w:unhideWhenUsed/>
    <w:rsid w:val="0067161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3455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t0@onet.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pubhtml5.com/gisr/pvri/" TargetMode="External"/><Relationship Id="rId5" Type="http://schemas.openxmlformats.org/officeDocument/2006/relationships/hyperlink" Target="https://www.biznes.gov.pl/pl/publikacje/3843-ogolne-zasady-znakowani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503</Words>
  <Characters>3018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8</cp:revision>
  <dcterms:created xsi:type="dcterms:W3CDTF">2020-03-15T14:32:00Z</dcterms:created>
  <dcterms:modified xsi:type="dcterms:W3CDTF">2020-03-15T15:33:00Z</dcterms:modified>
</cp:coreProperties>
</file>